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Cs/>
          <w:color w:val="000000"/>
          <w:sz w:val="36"/>
          <w:szCs w:val="36"/>
        </w:rPr>
      </w:pPr>
      <w:r>
        <w:rPr>
          <w:rFonts w:hint="eastAsia" w:ascii="黑体" w:hAnsi="黑体" w:eastAsia="黑体" w:cs="黑体"/>
          <w:bCs/>
          <w:color w:val="000000"/>
          <w:sz w:val="36"/>
          <w:szCs w:val="36"/>
        </w:rPr>
        <w:t>团体标准《康复机构学龄前孤独症儿童功能评估规范》</w:t>
      </w:r>
    </w:p>
    <w:p>
      <w:pPr>
        <w:jc w:val="center"/>
        <w:rPr>
          <w:rFonts w:ascii="黑体" w:hAnsi="黑体" w:eastAsia="黑体" w:cs="黑体"/>
          <w:bCs/>
          <w:sz w:val="36"/>
          <w:szCs w:val="36"/>
        </w:rPr>
      </w:pPr>
      <w:r>
        <w:rPr>
          <w:rFonts w:hint="eastAsia" w:ascii="黑体" w:hAnsi="黑体" w:eastAsia="黑体" w:cs="黑体"/>
          <w:bCs/>
          <w:color w:val="000000"/>
          <w:sz w:val="36"/>
          <w:szCs w:val="36"/>
        </w:rPr>
        <w:t>（征求意见稿）编制说明</w:t>
      </w:r>
    </w:p>
    <w:p>
      <w:pPr>
        <w:pStyle w:val="12"/>
        <w:numPr>
          <w:ilvl w:val="0"/>
          <w:numId w:val="5"/>
        </w:numPr>
        <w:adjustRightInd w:val="0"/>
        <w:snapToGrid w:val="0"/>
        <w:spacing w:line="360" w:lineRule="auto"/>
        <w:ind w:firstLineChars="0"/>
        <w:rPr>
          <w:rFonts w:ascii="黑体" w:hAnsi="黑体" w:eastAsia="黑体" w:cs="黑体"/>
          <w:bCs/>
          <w:sz w:val="32"/>
          <w:szCs w:val="32"/>
        </w:rPr>
      </w:pPr>
      <w:r>
        <w:rPr>
          <w:rFonts w:hint="eastAsia" w:ascii="黑体" w:hAnsi="黑体" w:eastAsia="黑体" w:cs="黑体"/>
          <w:bCs/>
          <w:sz w:val="32"/>
          <w:szCs w:val="32"/>
        </w:rPr>
        <w:t>项目来源</w:t>
      </w:r>
    </w:p>
    <w:p>
      <w:pPr>
        <w:spacing w:line="600" w:lineRule="exact"/>
        <w:ind w:firstLine="560" w:firstLineChars="200"/>
        <w:rPr>
          <w:rFonts w:ascii="仿宋_GB2312" w:hAnsi="宋体" w:eastAsia="仿宋_GB2312"/>
          <w:sz w:val="28"/>
          <w:szCs w:val="28"/>
          <w:lang w:val="zh-CN"/>
        </w:rPr>
      </w:pPr>
      <w:bookmarkStart w:id="1" w:name="_GoBack"/>
      <w:r>
        <w:rPr>
          <w:rFonts w:hint="eastAsia" w:ascii="仿宋_GB2312" w:hAnsi="宋体" w:eastAsia="仿宋_GB2312"/>
          <w:sz w:val="28"/>
          <w:szCs w:val="28"/>
          <w:lang w:val="zh-CN"/>
        </w:rPr>
        <w:t>根据《关于下达2021年第三批团体标准制修订项目计划的通知》（桂标协﹝2021﹞12号）文件精神，由南宁儿童康复中心提出，南宁儿童康复中心、中国残疾人康复协会残疾分类研究专业委员会、中国心理学会康复心理学专业委员会共同起草的团体标准《康复机构学龄前孤独症儿童功能评估规范》(项目编号：2021-0301)</w:t>
      </w:r>
      <w:bookmarkEnd w:id="1"/>
      <w:r>
        <w:rPr>
          <w:rFonts w:hint="eastAsia" w:ascii="仿宋_GB2312" w:hAnsi="宋体" w:eastAsia="仿宋_GB2312"/>
          <w:sz w:val="28"/>
          <w:szCs w:val="28"/>
          <w:lang w:val="zh-CN"/>
        </w:rPr>
        <w:t>。</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项目背景及目的意义</w:t>
      </w:r>
    </w:p>
    <w:p>
      <w:pPr>
        <w:pStyle w:val="28"/>
        <w:spacing w:after="0" w:line="600" w:lineRule="exact"/>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孤独症（ASD）是一种广泛性脑功能发育障碍，其基本特征为社会交往障碍、语言发展障碍、兴趣狭窄及行为刻板。孤独症儿童的养护和教育难度大，直接影响着几百万个家庭的正常工作和生活，有上千万个家人为之担心和忧虑，已引起国际社会的高度关注。根据中共中央、国务院《“健康中国2030”规划纲要》、国务院《关于促进健康服务业发展的若干意见》、国务院办公厅《关于推进分级诊疗制度建设的指导意见》等要求部署，卫生健康部门依托各级各类康复医疗机构为残疾患者提供康复医疗服务；中国残联重点加强对残疾儿童康复救助，开展听力语言康复、残疾人精准康复等工作推进；民政部实施康复辅具应用推广工作。《“十三五”加快残疾人小康进程规划纲要》中提出逐步实现0～6岁视力、听力、言语、智力、</w:t>
      </w:r>
      <w:r>
        <w:fldChar w:fldCharType="begin"/>
      </w:r>
      <w:r>
        <w:instrText xml:space="preserve"> HYPERLINK "https://baike.sogou.com/lemma/ShowInnerLink.htm?lemmaId=63320799&amp;ss_c=ssc.citiao.link" \t "_blank" </w:instrText>
      </w:r>
      <w:r>
        <w:fldChar w:fldCharType="separate"/>
      </w:r>
      <w:r>
        <w:rPr>
          <w:rFonts w:hint="eastAsia" w:ascii="仿宋_GB2312" w:hAnsi="宋体" w:eastAsia="仿宋_GB2312"/>
          <w:sz w:val="28"/>
          <w:szCs w:val="28"/>
          <w:lang w:val="zh-CN"/>
        </w:rPr>
        <w:t>肢体残疾儿童</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和</w:t>
      </w:r>
      <w:r>
        <w:fldChar w:fldCharType="begin"/>
      </w:r>
      <w:r>
        <w:instrText xml:space="preserve"> HYPERLINK "https://baike.sogou.com/lemma/ShowInnerLink.htm?lemmaId=64469279&amp;ss_c=ssc.citiao.link" \t "_blank" </w:instrText>
      </w:r>
      <w:r>
        <w:fldChar w:fldCharType="separate"/>
      </w:r>
      <w:r>
        <w:rPr>
          <w:rFonts w:hint="eastAsia" w:ascii="仿宋_GB2312" w:hAnsi="宋体" w:eastAsia="仿宋_GB2312"/>
          <w:sz w:val="28"/>
          <w:szCs w:val="28"/>
          <w:lang w:val="zh-CN"/>
        </w:rPr>
        <w:t>孤独症</w:t>
      </w:r>
      <w:r>
        <w:rPr>
          <w:rFonts w:hint="eastAsia" w:ascii="仿宋_GB2312" w:hAnsi="宋体" w:eastAsia="仿宋_GB2312"/>
          <w:sz w:val="28"/>
          <w:szCs w:val="28"/>
          <w:lang w:val="zh-CN"/>
        </w:rPr>
        <w:fldChar w:fldCharType="end"/>
      </w:r>
      <w:r>
        <w:rPr>
          <w:rFonts w:hint="eastAsia" w:ascii="仿宋_GB2312" w:hAnsi="宋体" w:eastAsia="仿宋_GB2312"/>
          <w:sz w:val="28"/>
          <w:szCs w:val="28"/>
          <w:lang w:val="zh-CN"/>
        </w:rPr>
        <w:t>儿童免费得到手术、辅助器具适配和康复训练等服务。《未成年人保护法》、《残疾人教育条例》提出“积极推进融合教育”、“优先采取普通教育方式”，意味着适龄的孤独症儿童、少年经过康复后可以转入或者升入普通学校接受义务教育。《儿童福利机构管理办法》、《残疾预防和残疾人康复条例》等以法规的形式明确了国家、社会、公民在残疾预防和残疾人康复工作中的责任，为实现残疾人“人人享有康复服务”的目标提供有力保障，对孤独症群体的康复服务提供了强有力的支持。</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业内专家普遍认为我国孤独症患病率为1％左右，14岁以下患病青少年数量超过200万人，孤独症总人口超过1000万人。随着孤独症患病率不断提高，以及国家对残疾人事业和民生的高度重视，孤独症康复教育引起社会广泛关注，相关康复教育机构不断发展，规模不断扩张。截至2020年底，广西行政区域内共有残疾人康复机构423个，其中185个可提供智力残疾康复服务，98个可提供精神残疾康复服务，98个可提供孤独症儿童康复服务。康复机构在岗人员9476人，其中，管理人员1075人，专业技术人员6365人，其他人员2036人。由于孤独症缺乏有效的药物治疗，早期诊断及早期康复是治疗和促进孤独症儿童社会功能康复的主要途径。孤独症的诊断和康复均需要智能发育水平评估，可以帮助我们发现智力残疾儿童的问题所在，便于制定针对性的康复方法，也可以帮助我们客观地评量智力残疾儿童在康复训练中的进步情况，以期获得更好的治疗效果。当前广西孤独症儿童康复机构大部分处于初级阶段，评估工具参差不齐，主要依赖于病史采集、行为观察和量表评估等方式，数据采集任务繁琐，评估过程复杂，评估结果容易受医生、家长及教师等主观因素的影响。因此，有必要对孤独症儿童康复机构形成统一的功能评估标准，为广西康复机构接纳学龄前智力残疾儿童的功能评估标准提供坚实的技术基础与理论基础。对于孤独症患儿，有效的干预手段有助于阻止病情的继续发展，减轻影响，提高其自理能力，帮助他们顺利适应或回归社会。理论上讲，孤独症的黄金康复年龄是2～6岁,此时的儿童大脑发育未成熟，有很多可变的机会和重新塑造的可能。准确的评估是所有干预的第一步，没有评估就不能够探知到孩子真实的能力在哪里，评估的主要目的是确定一个孩子技能的基础水平，干预前一定要找到孩子能力的基线、优势还有弱势，然后针对孩子的各项能力制定出最适合的一套训练计划。制定</w:t>
      </w:r>
      <w:r>
        <w:rPr>
          <w:rFonts w:ascii="仿宋_GB2312" w:hAnsi="宋体" w:eastAsia="仿宋_GB2312"/>
          <w:sz w:val="28"/>
          <w:szCs w:val="28"/>
          <w:lang w:val="zh-CN"/>
        </w:rPr>
        <w:t>个别化教育计划和康复计划</w:t>
      </w:r>
      <w:r>
        <w:rPr>
          <w:rFonts w:hint="eastAsia" w:ascii="仿宋_GB2312" w:hAnsi="宋体" w:eastAsia="仿宋_GB2312"/>
          <w:sz w:val="28"/>
          <w:szCs w:val="28"/>
          <w:lang w:val="zh-CN"/>
        </w:rPr>
        <w:t>，并对训练的效果进行动态的评估，以便及时调整训练的目标和计划，以此保证了孤独症康复训练的科学性和有效性。</w:t>
      </w:r>
    </w:p>
    <w:p>
      <w:pPr>
        <w:autoSpaceDE w:val="0"/>
        <w:autoSpaceDN w:val="0"/>
        <w:adjustRightInd w:val="0"/>
        <w:spacing w:line="600" w:lineRule="exact"/>
        <w:ind w:firstLine="560" w:firstLineChars="200"/>
        <w:jc w:val="left"/>
        <w:rPr>
          <w:rFonts w:ascii="仿宋_GB2312" w:hAnsi="宋体" w:eastAsia="仿宋_GB2312"/>
          <w:sz w:val="28"/>
          <w:szCs w:val="28"/>
          <w:lang w:val="zh-CN"/>
        </w:rPr>
      </w:pPr>
      <w:r>
        <w:rPr>
          <w:rFonts w:hint="eastAsia" w:ascii="仿宋_GB2312" w:hAnsi="宋体" w:eastAsia="仿宋_GB2312"/>
          <w:sz w:val="28"/>
          <w:szCs w:val="28"/>
          <w:lang w:val="zh-CN"/>
        </w:rPr>
        <w:t>通过制定团体标准《康复机构学龄前孤独症儿童功能评估规范》，以标准为抓手，统一规范康复机构学龄前孤独症儿童康复服务的</w:t>
      </w:r>
      <w:r>
        <w:rPr>
          <w:rFonts w:hint="eastAsia" w:ascii="仿宋_GB2312" w:hAnsi="宋体" w:eastAsia="仿宋_GB2312"/>
          <w:sz w:val="28"/>
          <w:szCs w:val="28"/>
        </w:rPr>
        <w:t>术语和定义、场所要求、环境要求、安全要求、设备及评估工具要求、人员要求、基于ICF孤独症儿童康复评估流程、功能评估内容，评估转介服务、档案管理</w:t>
      </w:r>
      <w:r>
        <w:rPr>
          <w:rFonts w:hint="eastAsia" w:ascii="仿宋_GB2312" w:hAnsi="宋体" w:eastAsia="仿宋_GB2312"/>
          <w:sz w:val="28"/>
          <w:szCs w:val="28"/>
          <w:lang w:val="zh-CN"/>
        </w:rPr>
        <w:t>等要求，用标准化和规范化将更好的指导康复机构孤独症儿童康复工作，对促进康复机构工作职能社会化、精细化、效益化发展，有助于完善康复机构标准化体系，促进完善广西民政系统依据标准制定相关配套的政策法规，尽快建立统一完善的孤独症儿童康复工作质量管理监督体系，对促进康复机构孤独症儿童康复服务专业化具有重要意义。</w:t>
      </w:r>
    </w:p>
    <w:p>
      <w:pPr>
        <w:pStyle w:val="12"/>
        <w:numPr>
          <w:ilvl w:val="0"/>
          <w:numId w:val="5"/>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标准编制过程</w:t>
      </w:r>
    </w:p>
    <w:p>
      <w:pPr>
        <w:adjustRightInd w:val="0"/>
        <w:snapToGrid w:val="0"/>
        <w:spacing w:beforeLines="50" w:line="360" w:lineRule="auto"/>
        <w:ind w:left="504"/>
        <w:rPr>
          <w:rFonts w:ascii="黑体" w:hAnsi="黑体" w:eastAsia="黑体" w:cs="黑体"/>
          <w:bCs/>
          <w:sz w:val="32"/>
          <w:szCs w:val="32"/>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w:t>
      </w:r>
      <w:r>
        <w:rPr>
          <w:rFonts w:hint="eastAsia" w:ascii="仿宋_GB2312" w:hAnsi="宋体" w:eastAsia="仿宋_GB2312"/>
          <w:sz w:val="28"/>
          <w:szCs w:val="28"/>
          <w:lang w:val="zh-CN"/>
        </w:rPr>
        <w:t>康复机构学龄前孤独症儿童功能评估规范</w:t>
      </w:r>
      <w:r>
        <w:rPr>
          <w:rFonts w:hint="eastAsia" w:ascii="仿宋_GB2312" w:hAnsi="宋体" w:eastAsia="仿宋_GB2312"/>
          <w:sz w:val="28"/>
          <w:szCs w:val="28"/>
        </w:rPr>
        <w:t>》项目任务下达后，成立了标准编制工作组，制定了标准编写方案，明确任务职责，确定工作技术路线，开展标准研制工作，具体标准编制工作由</w:t>
      </w:r>
      <w:r>
        <w:rPr>
          <w:rFonts w:hint="eastAsia" w:ascii="仿宋_GB2312" w:hAnsi="宋体" w:eastAsia="仿宋_GB2312"/>
          <w:sz w:val="28"/>
          <w:szCs w:val="28"/>
          <w:lang w:val="zh-CN"/>
        </w:rPr>
        <w:t>南宁儿童康复中心、中国残疾人康复协会残疾分类研究专业委员会、中国心理学会康复心理学专业委员会</w:t>
      </w:r>
      <w:r>
        <w:rPr>
          <w:rFonts w:hint="eastAsia" w:ascii="仿宋_GB2312" w:hAnsi="宋体" w:eastAsia="仿宋_GB2312"/>
          <w:sz w:val="28"/>
          <w:szCs w:val="28"/>
        </w:rPr>
        <w:t>相关人员配合。</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标准编制工作组收集了国内有关康复机构学龄前孤独症儿童功能评估相关文献资料。主要有：</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MZ/T 010《儿童福利机构基本规范》</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DB45/T 1927</w:t>
      </w:r>
      <w:r>
        <w:rPr>
          <w:rFonts w:hint="eastAsia" w:ascii="仿宋_GB2312" w:hAnsi="宋体" w:eastAsia="仿宋_GB2312" w:cs="Calibri"/>
          <w:sz w:val="28"/>
          <w:szCs w:val="28"/>
        </w:rPr>
        <w:t>《儿童福利机构康复服务规范》</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 xml:space="preserve">T/CARD 001—2020 </w:t>
      </w:r>
      <w:r>
        <w:rPr>
          <w:rFonts w:hint="eastAsia" w:ascii="仿宋_GB2312" w:hAnsi="宋体" w:eastAsia="仿宋_GB2312" w:cs="Calibri"/>
          <w:sz w:val="28"/>
          <w:szCs w:val="28"/>
        </w:rPr>
        <w:t>《孤独症</w:t>
      </w:r>
      <w:r>
        <w:rPr>
          <w:rFonts w:ascii="仿宋_GB2312" w:hAnsi="宋体" w:eastAsia="仿宋_GB2312" w:cs="Calibri"/>
          <w:sz w:val="28"/>
          <w:szCs w:val="28"/>
        </w:rPr>
        <w:t>儿童康复服务</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T/CARD 003-2020</w:t>
      </w:r>
      <w:r>
        <w:rPr>
          <w:rFonts w:hint="eastAsia" w:ascii="仿宋_GB2312" w:hAnsi="宋体" w:eastAsia="仿宋_GB2312" w:cs="Calibri"/>
          <w:sz w:val="28"/>
          <w:szCs w:val="28"/>
        </w:rPr>
        <w:t>《脑性瘫痪儿童康复服务》</w:t>
      </w:r>
    </w:p>
    <w:p>
      <w:pPr>
        <w:spacing w:line="600" w:lineRule="exact"/>
        <w:ind w:firstLine="560" w:firstLineChars="200"/>
        <w:rPr>
          <w:rFonts w:ascii="仿宋_GB2312" w:hAnsi="宋体" w:eastAsia="仿宋_GB2312" w:cs="Calibri"/>
          <w:sz w:val="28"/>
          <w:szCs w:val="28"/>
        </w:rPr>
      </w:pPr>
      <w:r>
        <w:rPr>
          <w:rFonts w:ascii="仿宋_GB2312" w:hAnsi="宋体" w:eastAsia="仿宋_GB2312" w:cs="Calibri"/>
          <w:sz w:val="28"/>
          <w:szCs w:val="28"/>
        </w:rPr>
        <w:t>T/CARD 004-2020</w:t>
      </w:r>
      <w:r>
        <w:rPr>
          <w:rFonts w:hint="eastAsia" w:ascii="仿宋_GB2312" w:hAnsi="宋体" w:eastAsia="仿宋_GB2312" w:cs="Calibri"/>
          <w:sz w:val="28"/>
          <w:szCs w:val="28"/>
        </w:rPr>
        <w:t>《智力残疾康复服务》</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DB11/T 1377.2《</w:t>
      </w:r>
      <w:r>
        <w:rPr>
          <w:rFonts w:ascii="仿宋_GB2312" w:hAnsi="宋体" w:eastAsia="仿宋_GB2312" w:cs="Calibri"/>
          <w:sz w:val="28"/>
          <w:szCs w:val="28"/>
        </w:rPr>
        <w:t>残障儿童康复机构服务规范 第2部分：孤独症儿童康复机构</w:t>
      </w:r>
      <w:r>
        <w:rPr>
          <w:rFonts w:hint="eastAsia" w:ascii="仿宋_GB2312" w:hAnsi="宋体" w:eastAsia="仿宋_GB2312" w:cs="Calibri"/>
          <w:sz w:val="28"/>
          <w:szCs w:val="28"/>
        </w:rPr>
        <w:t>》</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王玉龙.康复功能评定学第2版[M].人民卫生出版社.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李晓捷.实用儿童康复医学第2版[M].人民卫生出版社.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李晓捷.儿童康复学[M].人民卫生出版社.</w:t>
      </w:r>
    </w:p>
    <w:p>
      <w:pPr>
        <w:spacing w:line="600" w:lineRule="exact"/>
        <w:ind w:firstLine="560" w:firstLineChars="200"/>
        <w:rPr>
          <w:rFonts w:ascii="仿宋_GB2312" w:hAnsi="宋体" w:eastAsia="仿宋_GB2312" w:cs="Calibri"/>
          <w:sz w:val="28"/>
          <w:szCs w:val="28"/>
        </w:rPr>
      </w:pPr>
      <w:r>
        <w:rPr>
          <w:rFonts w:hint="eastAsia" w:ascii="仿宋_GB2312" w:hAnsi="宋体" w:eastAsia="仿宋_GB2312" w:cs="Calibri"/>
          <w:sz w:val="28"/>
          <w:szCs w:val="28"/>
        </w:rPr>
        <w:t>吴庆连.康复医学科管理规范与操作常规[M].中国协和医科大学出版社</w:t>
      </w:r>
    </w:p>
    <w:p>
      <w:pPr>
        <w:spacing w:beforeLines="50" w:afterLines="50"/>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32"/>
          <w:szCs w:val="32"/>
          <w:lang w:val="zh-CN"/>
        </w:rPr>
      </w:pPr>
      <w:r>
        <w:rPr>
          <w:rFonts w:hint="eastAsia" w:ascii="仿宋_GB2312" w:hAnsi="宋体"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术语和定义、场所要求、康复评估环境要求、安全要求、设备及评估工具要求、康复评估人员要求、基于ICF孤独症儿童康复评估流程、基于ICF孤独症儿童康复评估内容，孤独症儿童康复评估转介服务、孤独症儿童康复评估管理、档案管理。</w:t>
      </w:r>
    </w:p>
    <w:p>
      <w:pPr>
        <w:spacing w:line="60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（四）调研、形成文本草案、征求意见稿</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1月，标准起草工作组召开了第一次工作会议。会议上进一步明确了团体标准起草工作要求，就标准的基本框架及内容进行了充分讨论，研究了标准宣贯教材的编写工作并对工作组成员分工、工作进度及时限要求作了具体安排。于2021年2月申请立项，2月26日根据广西标准化协会《关于下达2021年第三批团体标准制定项目计划的通知》，批准立项</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2月，标准起草工作小组进行了广泛实地调研工作，查阅了大量的国内外文献资料，对康复机构学龄前孤独症儿童功能评估的前人研究成果进行系统总结。形成了标准的基本构架，对主要内容进行了讨论并对项目的工作进行了部署和安排。</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同时，在前期工作的基础之上，通过理清逻辑脉络，整合已有的参考资料中有关康复机构学龄前孤独症儿童功能评估要求，并结合康复机构学龄前孤独症功能评估要求的基础上，按照简化、统一等原则编制完成团体标准《康复机构学龄前儿童功能评估规范》（草案）。</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2021年4月～5月，深入国内、区内涉及康复机构孤独症儿童功能评估的有代表性的医疗机构针对康复机构孤独症儿童功能评估情况进行分组实地调研学习。通过实地调研，掌握各地方关于康复机构孤独症儿童功能评估的具体要求。并实际征求意见，通过收集反馈了大量意见，标准编制工作组多次召开会议，对标准草案进行了反复修改和研究讨论。最终形成了团体标准《康复机构学龄前孤独症儿童功能评估规范》（征求意见稿）和（征求意见稿）编制说明。</w:t>
      </w:r>
    </w:p>
    <w:p>
      <w:pPr>
        <w:autoSpaceDE w:val="0"/>
        <w:autoSpaceDN w:val="0"/>
        <w:adjustRightInd w:val="0"/>
        <w:spacing w:beforeLines="50" w:afterLines="50" w:line="520" w:lineRule="exact"/>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1、实用性原则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本文件是在充分收集相关资料和文献，分析康复机构学龄前孤独症儿童功能评估当前现状，调研区内康复机构孤独症儿童功能评估技术情况</w:t>
      </w:r>
      <w:r>
        <w:rPr>
          <w:rFonts w:hint="eastAsia"/>
          <w:sz w:val="28"/>
          <w:szCs w:val="28"/>
        </w:rPr>
        <w:t>，</w:t>
      </w:r>
      <w:r>
        <w:rPr>
          <w:rFonts w:hint="eastAsia" w:ascii="仿宋_GB2312" w:hAnsi="宋体" w:eastAsia="仿宋_GB2312"/>
          <w:sz w:val="28"/>
          <w:szCs w:val="28"/>
        </w:rPr>
        <w:t>在现有国家、行业标准相关康复机构孤独症儿童功能评估要求的基础上，结合南宁儿童康复中心多年的康复机构孤独症儿童功能评估经验而总结起草的。符合当前康复机构孤独症儿童功能评估发展的方向与需求，更好的确保康复机构孤独症儿童功能的评估质量，对不断提升康复机构孤独症儿童功能评估具有积极意义。</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2、协调性原则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本文件编写过程中注意了</w:t>
      </w:r>
      <w:r>
        <w:rPr>
          <w:rFonts w:hint="eastAsia" w:ascii="仿宋_GB2312" w:hAnsi="宋体" w:eastAsia="仿宋_GB2312"/>
          <w:sz w:val="28"/>
          <w:szCs w:val="28"/>
        </w:rPr>
        <w:t>康复机构学龄前孤独症儿童功能评估</w:t>
      </w:r>
      <w:r>
        <w:rPr>
          <w:rFonts w:hint="eastAsia" w:ascii="仿宋_GB2312" w:hAnsi="宋体" w:eastAsia="仿宋_GB2312"/>
          <w:sz w:val="28"/>
          <w:szCs w:val="28"/>
          <w:lang w:val="zh-CN"/>
        </w:rPr>
        <w:t>要求与相关法律法规的协调问题，在内容上与现行法律法规、标准协调一致。</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3、规范性原则</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本文件严格按照GB/T 1.1—2020《标准化工作导则 第1部分：标准的结构和编写》的要求和规定编写本标准的内容，保证标准的编写质量。</w:t>
      </w:r>
    </w:p>
    <w:p>
      <w:pPr>
        <w:spacing w:line="520"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4、前瞻性原则</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康复机构孤独症儿童功能评估现实情况的同时，还考虑到了康复机构孤独症儿童功能评估发展趋势和需要，在标准中体现了个别特色性、前瞻性和先进性条款，作为对康复机构孤独症儿童功能评估的指导。</w:t>
      </w:r>
    </w:p>
    <w:p>
      <w:pPr>
        <w:pStyle w:val="12"/>
        <w:numPr>
          <w:ilvl w:val="0"/>
          <w:numId w:val="6"/>
        </w:numPr>
        <w:adjustRightInd w:val="0"/>
        <w:snapToGrid w:val="0"/>
        <w:spacing w:beforeLines="50" w:line="360" w:lineRule="auto"/>
        <w:ind w:firstLineChars="0"/>
        <w:rPr>
          <w:rFonts w:ascii="黑体" w:hAnsi="黑体" w:eastAsia="黑体" w:cs="黑体"/>
          <w:bCs/>
          <w:sz w:val="32"/>
          <w:szCs w:val="32"/>
        </w:rPr>
      </w:pPr>
      <w:r>
        <w:rPr>
          <w:rFonts w:hint="eastAsia" w:ascii="黑体" w:hAnsi="黑体" w:eastAsia="黑体" w:cs="黑体"/>
          <w:bCs/>
          <w:sz w:val="32"/>
          <w:szCs w:val="32"/>
        </w:rPr>
        <w:t>标准主要章节内容及确定依据</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团体标准《康复机构学龄前孤独症儿童功能评估规范》主要内容包括</w:t>
      </w:r>
      <w:r>
        <w:rPr>
          <w:rFonts w:hint="eastAsia" w:ascii="仿宋_GB2312" w:hAnsi="宋体" w:eastAsia="仿宋_GB2312"/>
          <w:sz w:val="28"/>
          <w:szCs w:val="28"/>
        </w:rPr>
        <w:t>术语和定义、场所要求、环境要求、安全要求、设备及评估工具要求、评估人员要求、评估服务流程、评估服务内容，孤独症儿童康复评估转介服务、康复评估管理、档案管理。</w:t>
      </w:r>
    </w:p>
    <w:p>
      <w:pPr>
        <w:ind w:firstLine="562" w:firstLineChars="200"/>
        <w:rPr>
          <w:rFonts w:hint="eastAsia" w:ascii="仿宋_GB2312" w:hAnsi="宋体" w:eastAsia="仿宋_GB2312"/>
          <w:b/>
          <w:sz w:val="28"/>
          <w:szCs w:val="28"/>
          <w:lang w:val="zh-CN"/>
        </w:rPr>
      </w:pPr>
      <w:r>
        <w:rPr>
          <w:rFonts w:hint="eastAsia" w:ascii="仿宋_GB2312" w:hAnsi="宋体" w:eastAsia="仿宋_GB2312"/>
          <w:b/>
          <w:sz w:val="28"/>
          <w:szCs w:val="28"/>
          <w:lang w:val="zh-CN"/>
        </w:rPr>
        <w:t>1术语和定义</w:t>
      </w:r>
    </w:p>
    <w:p>
      <w:pPr>
        <w:pStyle w:val="26"/>
        <w:numPr>
          <w:ilvl w:val="0"/>
          <w:numId w:val="0"/>
        </w:numPr>
        <w:spacing w:line="600" w:lineRule="exact"/>
        <w:ind w:firstLine="560" w:firstLineChars="200"/>
        <w:rPr>
          <w:rFonts w:ascii="仿宋_GB2312" w:hAnsi="宋体" w:eastAsia="仿宋_GB2312"/>
          <w:kern w:val="2"/>
          <w:sz w:val="28"/>
          <w:szCs w:val="28"/>
        </w:rPr>
      </w:pPr>
      <w:r>
        <w:rPr>
          <w:rFonts w:hint="eastAsia" w:ascii="仿宋_GB2312" w:hAnsi="宋体" w:eastAsia="仿宋_GB2312"/>
          <w:kern w:val="2"/>
          <w:sz w:val="28"/>
          <w:szCs w:val="28"/>
        </w:rPr>
        <w:t>孤独症：也称谱系障碍综合征，又称自闭症，一类起病于3岁前，以社会交往障碍、沟通障碍和局限性、刻板性、重复性行为为主要特征的心理发展障碍。</w:t>
      </w:r>
      <w:r>
        <w:rPr>
          <w:rFonts w:ascii="仿宋_GB2312" w:hAnsi="宋体" w:eastAsia="仿宋_GB2312"/>
          <w:kern w:val="2"/>
          <w:sz w:val="28"/>
          <w:szCs w:val="28"/>
        </w:rPr>
        <w:br w:type="textWrapping"/>
      </w:r>
      <w:r>
        <w:rPr>
          <w:rFonts w:hint="eastAsia" w:ascii="仿宋_GB2312" w:hAnsi="宋体" w:eastAsia="仿宋_GB2312"/>
          <w:kern w:val="2"/>
          <w:sz w:val="28"/>
          <w:szCs w:val="28"/>
        </w:rPr>
        <w:t xml:space="preserve">     功能</w:t>
      </w:r>
      <w:r>
        <w:rPr>
          <w:rFonts w:ascii="仿宋_GB2312" w:hAnsi="宋体" w:eastAsia="仿宋_GB2312"/>
          <w:kern w:val="2"/>
          <w:sz w:val="28"/>
          <w:szCs w:val="28"/>
        </w:rPr>
        <w:t>评估</w:t>
      </w:r>
      <w:r>
        <w:rPr>
          <w:rFonts w:hint="eastAsia" w:ascii="仿宋_GB2312" w:hAnsi="宋体" w:eastAsia="仿宋_GB2312"/>
          <w:kern w:val="2"/>
          <w:sz w:val="28"/>
          <w:szCs w:val="28"/>
        </w:rPr>
        <w:t>：对病、伤、残患者的功能状况及其水平进行定性和（或）定量描述，并对其结果做出合理解释的过程。即通过收集患者的病史和相关信息，使用客观的方法有效和准确地评定功能障碍的种类、性质、部位、范围、严重程度、预后以及制定康复治疗计划和评估疗效的过程。</w:t>
      </w:r>
      <w:r>
        <w:rPr>
          <w:rFonts w:ascii="仿宋_GB2312" w:hAnsi="宋体" w:eastAsia="仿宋_GB2312"/>
          <w:kern w:val="2"/>
          <w:sz w:val="28"/>
          <w:szCs w:val="28"/>
        </w:rPr>
        <w:t xml:space="preserve"> </w:t>
      </w:r>
      <w:r>
        <w:rPr>
          <w:rFonts w:ascii="仿宋_GB2312" w:hAnsi="宋体" w:eastAsia="仿宋_GB2312"/>
          <w:kern w:val="2"/>
          <w:sz w:val="28"/>
          <w:szCs w:val="28"/>
        </w:rPr>
        <w:br w:type="textWrapping"/>
      </w:r>
      <w:r>
        <w:rPr>
          <w:rFonts w:hint="eastAsia" w:ascii="仿宋_GB2312" w:hAnsi="宋体" w:eastAsia="仿宋_GB2312"/>
          <w:kern w:val="2"/>
          <w:sz w:val="28"/>
          <w:szCs w:val="28"/>
        </w:rPr>
        <w:t xml:space="preserve">    ICF：WHO分类家族（FIC）的成员之一，是健康和健康相关领域的分类，国际通用的在个人和人群层面上测量健康和残疾的理论框架，世卫组织所有成员国均认可为描述和测量健康和残疾的国际标准。</w:t>
      </w:r>
    </w:p>
    <w:p>
      <w:pPr>
        <w:ind w:firstLine="560" w:firstLineChars="200"/>
        <w:rPr>
          <w:rFonts w:ascii="仿宋_GB2312" w:hAnsi="宋体" w:eastAsia="仿宋_GB2312"/>
          <w:sz w:val="28"/>
          <w:szCs w:val="28"/>
          <w:lang w:val="zh-CN"/>
        </w:rPr>
      </w:pPr>
      <w:r>
        <w:rPr>
          <w:rFonts w:hint="eastAsia" w:ascii="仿宋_GB2312" w:hAnsi="宋体" w:eastAsia="仿宋_GB2312"/>
          <w:sz w:val="28"/>
          <w:szCs w:val="28"/>
          <w:lang w:val="zh-CN"/>
        </w:rPr>
        <w:t>2</w:t>
      </w:r>
      <w:r>
        <w:rPr>
          <w:rFonts w:hint="eastAsia" w:ascii="仿宋_GB2312" w:eastAsia="仿宋_GB2312"/>
          <w:b/>
          <w:sz w:val="28"/>
          <w:szCs w:val="28"/>
        </w:rPr>
        <w:t>场所、环境、人员等要求</w:t>
      </w:r>
    </w:p>
    <w:p>
      <w:pPr>
        <w:ind w:firstLine="562" w:firstLineChars="200"/>
        <w:rPr>
          <w:rFonts w:hint="eastAsia" w:ascii="仿宋_GB2312" w:hAnsi="宋体" w:eastAsia="仿宋_GB2312"/>
          <w:sz w:val="28"/>
          <w:szCs w:val="28"/>
        </w:rPr>
      </w:pPr>
      <w:r>
        <w:rPr>
          <w:rFonts w:hint="eastAsia" w:ascii="仿宋_GB2312" w:eastAsia="仿宋_GB2312"/>
          <w:b/>
          <w:sz w:val="28"/>
          <w:szCs w:val="28"/>
        </w:rPr>
        <w:t>场所要求、评估环境</w:t>
      </w:r>
      <w:r>
        <w:rPr>
          <w:rFonts w:hint="eastAsia" w:ascii="仿宋_GB2312" w:eastAsia="仿宋_GB2312"/>
          <w:sz w:val="28"/>
          <w:szCs w:val="28"/>
        </w:rPr>
        <w:t>的设置应对学龄前孤独症儿童的康复起到促</w:t>
      </w:r>
      <w:r>
        <w:rPr>
          <w:rFonts w:hint="eastAsia" w:ascii="仿宋_GB2312" w:hAnsi="宋体" w:eastAsia="仿宋_GB2312"/>
          <w:sz w:val="28"/>
          <w:szCs w:val="28"/>
        </w:rPr>
        <w:t>进作用，并且配备相应的测试室、评估室等，</w:t>
      </w:r>
      <w:r>
        <w:rPr>
          <w:rFonts w:ascii="仿宋_GB2312" w:hAnsi="宋体" w:eastAsia="仿宋_GB2312"/>
          <w:sz w:val="28"/>
          <w:szCs w:val="28"/>
        </w:rPr>
        <w:t>公共信息图形符号和安全标识应符合GB/T 10001.1、GB/T 10001.9的要求</w:t>
      </w:r>
      <w:r>
        <w:rPr>
          <w:rFonts w:hint="eastAsia" w:ascii="仿宋_GB2312" w:hAnsi="宋体" w:eastAsia="仿宋_GB2312"/>
          <w:sz w:val="28"/>
          <w:szCs w:val="28"/>
        </w:rPr>
        <w:t>，室内环境空气质量、声环境等应达到相应的标准。</w:t>
      </w:r>
      <w:r>
        <w:rPr>
          <w:rFonts w:hint="eastAsia" w:ascii="仿宋_GB2312" w:hAnsi="宋体" w:eastAsia="仿宋_GB2312"/>
          <w:b/>
          <w:sz w:val="28"/>
          <w:szCs w:val="28"/>
        </w:rPr>
        <w:t>安全要求</w:t>
      </w:r>
      <w:r>
        <w:rPr>
          <w:rFonts w:hint="eastAsia" w:ascii="仿宋_GB2312" w:hAnsi="宋体" w:eastAsia="仿宋_GB2312"/>
          <w:sz w:val="28"/>
          <w:szCs w:val="28"/>
        </w:rPr>
        <w:t>考虑到了特殊儿童的不便之处并提出相应的条款，</w:t>
      </w:r>
      <w:r>
        <w:rPr>
          <w:rFonts w:hint="eastAsia" w:ascii="仿宋_GB2312" w:hAnsi="宋体" w:eastAsia="仿宋_GB2312"/>
          <w:b/>
          <w:sz w:val="28"/>
          <w:szCs w:val="28"/>
        </w:rPr>
        <w:t>消防安全标志</w:t>
      </w:r>
      <w:r>
        <w:rPr>
          <w:rFonts w:hint="eastAsia" w:ascii="仿宋_GB2312" w:hAnsi="宋体" w:eastAsia="仿宋_GB2312"/>
          <w:sz w:val="28"/>
          <w:szCs w:val="28"/>
        </w:rPr>
        <w:t>应符合GB 13495.1的要求，消防安全标志设置及使用应符合GB 15630、GB 2894的要求。</w:t>
      </w:r>
      <w:r>
        <w:rPr>
          <w:rFonts w:ascii="仿宋_GB2312" w:hAnsi="宋体" w:eastAsia="仿宋_GB2312"/>
          <w:b/>
          <w:sz w:val="28"/>
          <w:szCs w:val="28"/>
        </w:rPr>
        <w:t>设备</w:t>
      </w:r>
      <w:r>
        <w:rPr>
          <w:rFonts w:hint="eastAsia" w:ascii="仿宋_GB2312" w:hAnsi="宋体" w:eastAsia="仿宋_GB2312"/>
          <w:b/>
          <w:sz w:val="28"/>
          <w:szCs w:val="28"/>
        </w:rPr>
        <w:t>及评估工具要求</w:t>
      </w:r>
      <w:r>
        <w:rPr>
          <w:rFonts w:hint="eastAsia" w:ascii="仿宋_GB2312" w:hAnsi="宋体" w:eastAsia="仿宋_GB2312"/>
          <w:sz w:val="28"/>
          <w:szCs w:val="28"/>
        </w:rPr>
        <w:t>列举了孤独症儿童功能评估常用的量表，以及南宁儿童康复中心经过多年的实践验证其科学性和有效性的ICF Core-set综合版量表和南宁市培智学校课程评估手册。</w:t>
      </w:r>
      <w:r>
        <w:rPr>
          <w:rFonts w:hint="eastAsia" w:ascii="仿宋_GB2312" w:hAnsi="宋体" w:eastAsia="仿宋_GB2312"/>
          <w:b/>
          <w:sz w:val="28"/>
          <w:szCs w:val="28"/>
        </w:rPr>
        <w:t>评估人员</w:t>
      </w:r>
      <w:r>
        <w:rPr>
          <w:rFonts w:hint="eastAsia" w:ascii="仿宋_GB2312" w:hAnsi="宋体" w:eastAsia="仿宋_GB2312"/>
          <w:sz w:val="28"/>
          <w:szCs w:val="28"/>
        </w:rPr>
        <w:t>主要依据区内外康复机构的实际情况、考察、进行多方面讨论确定，对康复服务人员的资质以及其他要求进行相应的界定。</w:t>
      </w:r>
    </w:p>
    <w:p>
      <w:pPr>
        <w:ind w:firstLine="560" w:firstLineChars="200"/>
        <w:rPr>
          <w:rFonts w:hint="eastAsia" w:ascii="仿宋_GB2312" w:hAnsi="宋体" w:eastAsia="仿宋_GB2312"/>
          <w:b/>
          <w:sz w:val="28"/>
          <w:szCs w:val="28"/>
        </w:rPr>
      </w:pPr>
      <w:r>
        <w:rPr>
          <w:rFonts w:hint="eastAsia" w:ascii="仿宋_GB2312" w:hAnsi="宋体" w:eastAsia="仿宋_GB2312"/>
          <w:sz w:val="28"/>
          <w:szCs w:val="28"/>
        </w:rPr>
        <w:t>3</w:t>
      </w:r>
      <w:r>
        <w:rPr>
          <w:rFonts w:hint="eastAsia" w:ascii="仿宋_GB2312" w:hAnsi="宋体" w:eastAsia="仿宋_GB2312"/>
          <w:b/>
          <w:sz w:val="28"/>
          <w:szCs w:val="28"/>
        </w:rPr>
        <w:t>评估服务流程、评估服务要求</w:t>
      </w:r>
    </w:p>
    <w:p>
      <w:pPr>
        <w:ind w:firstLine="560" w:firstLineChars="200"/>
        <w:rPr>
          <w:rFonts w:hint="eastAsia" w:ascii="仿宋_GB2312" w:hAnsi="宋体" w:eastAsia="仿宋_GB2312"/>
          <w:sz w:val="28"/>
          <w:szCs w:val="28"/>
        </w:rPr>
      </w:pPr>
      <w:r>
        <w:rPr>
          <w:rFonts w:ascii="仿宋_GB2312" w:hAnsi="宋体" w:eastAsia="仿宋_GB2312"/>
          <w:sz w:val="28"/>
          <w:szCs w:val="28"/>
        </w:rPr>
        <w:t>在科学性上,要依据国内外最新的研究成果和残疾儿童康复及教育方面的规范做法,根据ICF有关全人发展和功能的理论,建立了标准架构和理论以及方法。在标准性和规范性上，全面系统应用了世卫组织《国际功能、残疾和健康分类》的理论与方法,建立在基于ICF的现代</w:t>
      </w:r>
      <w:r>
        <w:rPr>
          <w:rFonts w:hint="eastAsia" w:ascii="仿宋_GB2312" w:hAnsi="宋体" w:eastAsia="仿宋_GB2312"/>
          <w:sz w:val="28"/>
          <w:szCs w:val="28"/>
        </w:rPr>
        <w:t>孤独症儿童康复</w:t>
      </w:r>
      <w:r>
        <w:rPr>
          <w:rFonts w:ascii="仿宋_GB2312" w:hAnsi="宋体" w:eastAsia="仿宋_GB2312"/>
          <w:sz w:val="28"/>
          <w:szCs w:val="28"/>
        </w:rPr>
        <w:t>评估理论体系上,同时也保持了与国家标准和行业标准的一致性,地方标准作为国际标准和国家标准以及行业标准实施的标准化工具</w:t>
      </w:r>
      <w:r>
        <w:rPr>
          <w:rFonts w:hint="eastAsia" w:ascii="仿宋_GB2312" w:hAnsi="宋体" w:eastAsia="仿宋_GB2312"/>
          <w:sz w:val="28"/>
          <w:szCs w:val="28"/>
        </w:rPr>
        <w:t>。</w:t>
      </w:r>
      <w:r>
        <w:rPr>
          <w:rFonts w:ascii="仿宋_GB2312" w:hAnsi="宋体" w:eastAsia="仿宋_GB2312"/>
          <w:sz w:val="28"/>
          <w:szCs w:val="28"/>
        </w:rPr>
        <w:t>在实用性上，强调了标准在行业的推广实施的可行性，通过分析区内相关特殊教育和康复机构的应用情况，也考虑到全国发展的统</w:t>
      </w:r>
      <w:r>
        <w:rPr>
          <w:rFonts w:hint="eastAsia" w:ascii="仿宋_GB2312" w:hAnsi="宋体" w:eastAsia="仿宋_GB2312"/>
          <w:sz w:val="28"/>
          <w:szCs w:val="28"/>
        </w:rPr>
        <w:t>一</w:t>
      </w:r>
      <w:r>
        <w:rPr>
          <w:rFonts w:ascii="仿宋_GB2312" w:hAnsi="宋体" w:eastAsia="仿宋_GB2312"/>
          <w:sz w:val="28"/>
          <w:szCs w:val="28"/>
        </w:rPr>
        <w:t>技术要求，本标准在区内实施具有可行性，且通过实施本标准，可以提升区内相关机构教育和康复服务的质量和水平。</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本标准基于ICF的基础上，结合孤独症儿童功能评估的特点，经过不断的实践验证，总结出孤独症儿童功能评估的五个步骤：功能评估、制定个别化康复计划、转介安置、结果评估、复合诊断，并得出了具体的服务内容与要求。南宁儿童康复中心在实践的过程中总结经验，并传授给区内其他康复机构。经过标准编制工作组多次到运用ICF孤独症儿童康复评估的康复机构调研发现，基于ICF的孤独症儿童康复评估具有科学性，能够有效地为后续的康复训练计划安排提供依据。</w:t>
      </w:r>
    </w:p>
    <w:p>
      <w:pPr>
        <w:ind w:firstLine="560" w:firstLineChars="200"/>
        <w:rPr>
          <w:rFonts w:hint="eastAsia" w:ascii="仿宋_GB2312" w:hAnsi="宋体" w:eastAsia="仿宋_GB2312"/>
          <w:b/>
          <w:sz w:val="28"/>
          <w:szCs w:val="28"/>
        </w:rPr>
      </w:pPr>
      <w:r>
        <w:rPr>
          <w:rFonts w:hint="eastAsia" w:ascii="仿宋_GB2312" w:hAnsi="宋体" w:eastAsia="仿宋_GB2312"/>
          <w:sz w:val="28"/>
          <w:szCs w:val="28"/>
        </w:rPr>
        <w:t>4</w:t>
      </w:r>
      <w:r>
        <w:rPr>
          <w:rFonts w:hint="eastAsia" w:ascii="仿宋_GB2312" w:hAnsi="宋体" w:eastAsia="仿宋_GB2312"/>
          <w:b/>
          <w:sz w:val="28"/>
          <w:szCs w:val="28"/>
        </w:rPr>
        <w:t>服务内容</w:t>
      </w:r>
    </w:p>
    <w:p>
      <w:pPr>
        <w:ind w:firstLine="560" w:firstLineChars="200"/>
        <w:rPr>
          <w:rFonts w:hint="eastAsia" w:ascii="仿宋_GB2312" w:hAnsi="宋体" w:eastAsia="仿宋_GB2312"/>
          <w:sz w:val="28"/>
          <w:szCs w:val="28"/>
        </w:rPr>
      </w:pPr>
      <w:r>
        <w:rPr>
          <w:rFonts w:hint="eastAsia" w:ascii="仿宋_GB2312" w:hAnsi="宋体" w:eastAsia="仿宋_GB2312"/>
          <w:sz w:val="28"/>
          <w:szCs w:val="28"/>
        </w:rPr>
        <w:t>转介服务从智力功能、社会适应、生活实践三方面进行评估，判断</w:t>
      </w:r>
      <w:r>
        <w:rPr>
          <w:rFonts w:hint="eastAsia" w:ascii="仿宋_GB2312" w:hAnsi="宋体" w:eastAsia="仿宋_GB2312"/>
          <w:sz w:val="28"/>
          <w:szCs w:val="28"/>
          <w:lang w:val="en-US" w:eastAsia="zh-CN"/>
        </w:rPr>
        <w:t>孤独症</w:t>
      </w:r>
      <w:r>
        <w:rPr>
          <w:rFonts w:hint="eastAsia" w:ascii="仿宋_GB2312" w:hAnsi="宋体" w:eastAsia="仿宋_GB2312"/>
          <w:sz w:val="28"/>
          <w:szCs w:val="28"/>
        </w:rPr>
        <w:t>儿童是否已经具备相关的能力，并依据此为其提供相应的转介服务。</w:t>
      </w:r>
      <w:r>
        <w:rPr>
          <w:rFonts w:hint="eastAsia" w:ascii="仿宋_GB2312" w:hAnsi="宋体" w:eastAsia="仿宋_GB2312"/>
          <w:b/>
          <w:sz w:val="28"/>
          <w:szCs w:val="28"/>
        </w:rPr>
        <w:t>功能评估管理</w:t>
      </w:r>
      <w:r>
        <w:rPr>
          <w:rFonts w:hint="eastAsia" w:ascii="仿宋_GB2312" w:hAnsi="宋体" w:eastAsia="仿宋_GB2312"/>
          <w:sz w:val="28"/>
          <w:szCs w:val="28"/>
        </w:rPr>
        <w:t>全面地总结了孤独症儿童康复评估管理要求、过程要求以及应用到的ICF工具。</w:t>
      </w:r>
      <w:r>
        <w:rPr>
          <w:rFonts w:hint="eastAsia" w:ascii="仿宋_GB2312" w:hAnsi="宋体" w:eastAsia="仿宋_GB2312"/>
          <w:b/>
          <w:sz w:val="28"/>
          <w:szCs w:val="28"/>
        </w:rPr>
        <w:t>档案管理</w:t>
      </w:r>
      <w:r>
        <w:rPr>
          <w:rFonts w:hint="eastAsia" w:ascii="仿宋_GB2312" w:hAnsi="宋体" w:eastAsia="仿宋_GB2312"/>
          <w:sz w:val="28"/>
          <w:szCs w:val="28"/>
        </w:rPr>
        <w:t>参照相应的特殊儿童档案管理对孤独症儿童的康复评估档案进行归档。</w:t>
      </w:r>
    </w:p>
    <w:p>
      <w:pPr>
        <w:ind w:firstLine="560" w:firstLineChars="200"/>
        <w:rPr>
          <w:rFonts w:hint="eastAsia" w:ascii="仿宋_GB2312" w:hAnsi="宋体" w:eastAsia="仿宋_GB2312"/>
          <w:sz w:val="28"/>
          <w:szCs w:val="28"/>
          <w:lang w:val="zh-CN"/>
        </w:rPr>
      </w:pPr>
      <w:r>
        <w:rPr>
          <w:rFonts w:ascii="仿宋_GB2312" w:hAnsi="宋体" w:eastAsia="仿宋_GB2312"/>
          <w:sz w:val="28"/>
          <w:szCs w:val="28"/>
        </w:rPr>
        <w:drawing>
          <wp:inline distT="0" distB="0" distL="0" distR="0">
            <wp:extent cx="5178425" cy="4237990"/>
            <wp:effectExtent l="19050" t="0" r="3037" b="0"/>
            <wp:docPr id="10" name="图片 2" descr="C:\Users\ADMINI~1\AppData\Local\Temp\WeChat Files\a663d09550d5f426543227b830ca5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C:\Users\ADMINI~1\AppData\Local\Temp\WeChat Files\a663d09550d5f426543227b830ca540.png"/>
                    <pic:cNvPicPr>
                      <a:picLocks noChangeAspect="1" noChangeArrowheads="1"/>
                    </pic:cNvPicPr>
                  </pic:nvPicPr>
                  <pic:blipFill>
                    <a:blip r:embed="rId4" cstate="print"/>
                    <a:srcRect/>
                    <a:stretch>
                      <a:fillRect/>
                    </a:stretch>
                  </pic:blipFill>
                  <pic:spPr>
                    <a:xfrm>
                      <a:off x="0" y="0"/>
                      <a:ext cx="5178048" cy="4237625"/>
                    </a:xfrm>
                    <a:prstGeom prst="rect">
                      <a:avLst/>
                    </a:prstGeom>
                    <a:noFill/>
                    <a:ln w="9525">
                      <a:noFill/>
                      <a:miter lim="800000"/>
                      <a:headEnd/>
                      <a:tailEnd/>
                    </a:ln>
                  </pic:spPr>
                </pic:pic>
              </a:graphicData>
            </a:graphic>
          </wp:inline>
        </w:drawing>
      </w:r>
    </w:p>
    <w:p>
      <w:pPr>
        <w:pStyle w:val="29"/>
        <w:spacing w:before="156" w:after="156"/>
      </w:pPr>
      <w:r>
        <w:rPr>
          <w:rFonts w:hint="eastAsia"/>
        </w:rPr>
        <w:t>孤独症儿童康复评估管理流程图</w:t>
      </w:r>
    </w:p>
    <w:p>
      <w:pPr>
        <w:pStyle w:val="12"/>
        <w:numPr>
          <w:ilvl w:val="0"/>
          <w:numId w:val="6"/>
        </w:numPr>
        <w:adjustRightInd w:val="0"/>
        <w:snapToGrid w:val="0"/>
        <w:spacing w:beforeLines="50" w:line="360" w:lineRule="auto"/>
        <w:ind w:firstLineChars="0"/>
        <w:rPr>
          <w:rFonts w:ascii="黑体" w:hAnsi="黑体" w:eastAsia="黑体" w:cs="黑体"/>
          <w:bCs/>
          <w:sz w:val="32"/>
          <w:szCs w:val="32"/>
          <w:lang w:val="zh-CN"/>
        </w:rPr>
      </w:pPr>
      <w:r>
        <w:rPr>
          <w:rFonts w:hint="eastAsia" w:ascii="黑体" w:hAnsi="黑体" w:eastAsia="黑体" w:cs="黑体"/>
          <w:bCs/>
          <w:sz w:val="32"/>
          <w:szCs w:val="32"/>
          <w:lang w:val="zh-CN"/>
        </w:rPr>
        <w:t>国内外同类标准制修订情况及与法律法规、强制性标准关系</w:t>
      </w:r>
    </w:p>
    <w:p>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经查阅，国内与孤独症儿童功能评估相关的国家标准、行业标准、地方标准及团体标准有：MZ/T 010《儿童福利机构基本规范》、DB45/T 1927《儿童福利机构康复服务规范》、T/CARD 001—2020 《孤独症儿童康复服务》、DB11/T 1377.2《残障儿童康复机构服务规范 第2部分：孤独症儿童康复机构》。</w:t>
      </w:r>
      <w:r>
        <w:rPr>
          <w:rFonts w:hint="eastAsia" w:ascii="仿宋_GB2312" w:hAnsi="仿宋" w:eastAsia="仿宋_GB2312"/>
          <w:bCs/>
          <w:color w:val="000000"/>
          <w:kern w:val="0"/>
          <w:sz w:val="28"/>
          <w:szCs w:val="28"/>
        </w:rPr>
        <w:t>以上标准主要针对孤独症儿童康复机构的康复服务原则、服务要求、支持条件和质量控制做出了要求，缺乏基于ICF理念下对影响孤独症儿童康复训练的可能影响因素进行规范梳理，且未有一个基于ICF理论下针对儿童康复机构学龄前孤独症儿童功能评估做出重点、精细的内容限定，不能精准地指导儿童康复机构中孤独症儿童功能评估实际工作。</w:t>
      </w:r>
    </w:p>
    <w:p>
      <w:pPr>
        <w:ind w:firstLine="560" w:firstLineChars="200"/>
        <w:rPr>
          <w:rFonts w:ascii="仿宋_GB2312" w:hAnsi="宋体" w:eastAsia="仿宋_GB2312"/>
          <w:sz w:val="28"/>
          <w:szCs w:val="28"/>
        </w:rPr>
      </w:pPr>
      <w:r>
        <w:rPr>
          <w:rFonts w:hint="eastAsia" w:ascii="仿宋_GB2312" w:hAnsi="宋体" w:eastAsia="仿宋_GB2312"/>
          <w:sz w:val="28"/>
          <w:szCs w:val="28"/>
          <w:lang w:val="zh-CN"/>
        </w:rPr>
        <w:t>本标准的内容与现行的法律、法规及强制性标准无冲突，标准的编写符合</w:t>
      </w:r>
      <w:r>
        <w:rPr>
          <w:rFonts w:hint="eastAsia" w:ascii="仿宋_GB2312" w:hAnsi="宋体" w:eastAsia="仿宋_GB2312"/>
          <w:sz w:val="28"/>
          <w:szCs w:val="28"/>
        </w:rPr>
        <w:t>GB/T 1.1-2020的要求。</w:t>
      </w:r>
    </w:p>
    <w:p>
      <w:pPr>
        <w:adjustRightInd w:val="0"/>
        <w:snapToGrid w:val="0"/>
        <w:spacing w:beforeLines="50" w:line="360" w:lineRule="auto"/>
        <w:ind w:left="505"/>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rPr>
          <w:rFonts w:ascii="仿宋_GB2312" w:hAnsi="宋体" w:eastAsia="仿宋_GB2312"/>
          <w:sz w:val="28"/>
          <w:szCs w:val="28"/>
          <w:lang w:val="zh-CN"/>
        </w:rPr>
      </w:pPr>
    </w:p>
    <w:p>
      <w:pPr>
        <w:spacing w:line="520" w:lineRule="exact"/>
        <w:ind w:firstLine="560" w:firstLineChars="200"/>
        <w:outlineLvl w:val="0"/>
        <w:rPr>
          <w:rFonts w:ascii="仿宋_GB2312" w:hAnsi="宋体" w:eastAsia="仿宋_GB2312"/>
          <w:sz w:val="28"/>
          <w:szCs w:val="28"/>
          <w:lang w:val="zh-CN"/>
        </w:rPr>
      </w:pPr>
      <w:r>
        <w:rPr>
          <w:rFonts w:hint="eastAsia" w:ascii="仿宋_GB2312" w:hAnsi="宋体" w:eastAsia="仿宋_GB2312"/>
          <w:sz w:val="28"/>
          <w:szCs w:val="28"/>
          <w:lang w:val="zh-CN"/>
        </w:rPr>
        <w:t xml:space="preserve">             团体标准 《康复机构学龄前孤独症儿童功能评估规范》</w:t>
      </w:r>
    </w:p>
    <w:p>
      <w:pPr>
        <w:spacing w:line="520" w:lineRule="exact"/>
        <w:ind w:firstLine="5180" w:firstLineChars="1850"/>
        <w:rPr>
          <w:rFonts w:ascii="仿宋_GB2312" w:hAnsi="宋体" w:eastAsia="仿宋_GB2312"/>
          <w:sz w:val="28"/>
          <w:szCs w:val="28"/>
          <w:lang w:val="zh-CN"/>
        </w:rPr>
      </w:pPr>
      <w:r>
        <w:rPr>
          <w:rFonts w:hint="eastAsia" w:ascii="仿宋_GB2312" w:hAnsi="宋体" w:eastAsia="仿宋_GB2312"/>
          <w:sz w:val="28"/>
          <w:szCs w:val="28"/>
          <w:lang w:val="zh-CN"/>
        </w:rPr>
        <w:t>标准编制小组</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lang w:val="zh-CN"/>
        </w:rPr>
        <w:t xml:space="preserve">                               </w:t>
      </w:r>
      <w:r>
        <w:rPr>
          <w:rFonts w:hint="eastAsia" w:ascii="仿宋_GB2312" w:hAnsi="宋体" w:eastAsia="仿宋_GB2312"/>
          <w:sz w:val="28"/>
          <w:szCs w:val="28"/>
        </w:rPr>
        <w:t>2021</w:t>
      </w:r>
      <w:r>
        <w:rPr>
          <w:rFonts w:hint="eastAsia" w:ascii="仿宋_GB2312" w:hAnsi="宋体" w:eastAsia="仿宋_GB2312"/>
          <w:sz w:val="28"/>
          <w:szCs w:val="28"/>
          <w:lang w:val="zh-CN"/>
        </w:rPr>
        <w:t>年</w:t>
      </w:r>
      <w:r>
        <w:rPr>
          <w:rFonts w:hint="eastAsia" w:ascii="仿宋_GB2312" w:hAnsi="宋体" w:eastAsia="仿宋_GB2312"/>
          <w:sz w:val="28"/>
          <w:szCs w:val="28"/>
        </w:rPr>
        <w:t>05</w:t>
      </w:r>
      <w:r>
        <w:rPr>
          <w:rFonts w:hint="eastAsia" w:ascii="仿宋_GB2312" w:hAnsi="宋体" w:eastAsia="仿宋_GB2312"/>
          <w:sz w:val="28"/>
          <w:szCs w:val="28"/>
          <w:lang w:val="zh-CN"/>
        </w:rPr>
        <w:t>月</w:t>
      </w:r>
      <w:r>
        <w:rPr>
          <w:rFonts w:hint="eastAsia" w:ascii="仿宋_GB2312" w:hAnsi="宋体" w:eastAsia="仿宋_GB2312"/>
          <w:sz w:val="28"/>
          <w:szCs w:val="28"/>
        </w:rPr>
        <w:t>18日</w:t>
      </w:r>
    </w:p>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24174A8"/>
    <w:multiLevelType w:val="multilevel"/>
    <w:tmpl w:val="124174A8"/>
    <w:lvl w:ilvl="0" w:tentative="0">
      <w:start w:val="1"/>
      <w:numFmt w:val="japaneseCounting"/>
      <w:lvlText w:val="%1、"/>
      <w:lvlJc w:val="left"/>
      <w:pPr>
        <w:ind w:left="1224" w:hanging="720"/>
      </w:pPr>
      <w:rPr>
        <w:rFonts w:hint="default"/>
      </w:rPr>
    </w:lvl>
    <w:lvl w:ilvl="1" w:tentative="0">
      <w:start w:val="1"/>
      <w:numFmt w:val="lowerLetter"/>
      <w:lvlText w:val="%2)"/>
      <w:lvlJc w:val="left"/>
      <w:pPr>
        <w:ind w:left="1344" w:hanging="420"/>
      </w:pPr>
    </w:lvl>
    <w:lvl w:ilvl="2" w:tentative="0">
      <w:start w:val="1"/>
      <w:numFmt w:val="lowerRoman"/>
      <w:lvlText w:val="%3."/>
      <w:lvlJc w:val="right"/>
      <w:pPr>
        <w:ind w:left="1764" w:hanging="420"/>
      </w:pPr>
    </w:lvl>
    <w:lvl w:ilvl="3" w:tentative="0">
      <w:start w:val="1"/>
      <w:numFmt w:val="decimal"/>
      <w:lvlText w:val="%4."/>
      <w:lvlJc w:val="left"/>
      <w:pPr>
        <w:ind w:left="2184" w:hanging="420"/>
      </w:pPr>
    </w:lvl>
    <w:lvl w:ilvl="4" w:tentative="0">
      <w:start w:val="1"/>
      <w:numFmt w:val="lowerLetter"/>
      <w:lvlText w:val="%5)"/>
      <w:lvlJc w:val="left"/>
      <w:pPr>
        <w:ind w:left="2604" w:hanging="420"/>
      </w:pPr>
    </w:lvl>
    <w:lvl w:ilvl="5" w:tentative="0">
      <w:start w:val="1"/>
      <w:numFmt w:val="lowerRoman"/>
      <w:lvlText w:val="%6."/>
      <w:lvlJc w:val="right"/>
      <w:pPr>
        <w:ind w:left="3024" w:hanging="420"/>
      </w:pPr>
    </w:lvl>
    <w:lvl w:ilvl="6" w:tentative="0">
      <w:start w:val="1"/>
      <w:numFmt w:val="decimal"/>
      <w:lvlText w:val="%7."/>
      <w:lvlJc w:val="left"/>
      <w:pPr>
        <w:ind w:left="3444" w:hanging="420"/>
      </w:pPr>
    </w:lvl>
    <w:lvl w:ilvl="7" w:tentative="0">
      <w:start w:val="1"/>
      <w:numFmt w:val="lowerLetter"/>
      <w:lvlText w:val="%8)"/>
      <w:lvlJc w:val="left"/>
      <w:pPr>
        <w:ind w:left="3864" w:hanging="420"/>
      </w:pPr>
    </w:lvl>
    <w:lvl w:ilvl="8" w:tentative="0">
      <w:start w:val="1"/>
      <w:numFmt w:val="lowerRoman"/>
      <w:lvlText w:val="%9."/>
      <w:lvlJc w:val="right"/>
      <w:pPr>
        <w:ind w:left="4284" w:hanging="420"/>
      </w:pPr>
    </w:lvl>
  </w:abstractNum>
  <w:abstractNum w:abstractNumId="2">
    <w:nsid w:val="20494293"/>
    <w:multiLevelType w:val="multilevel"/>
    <w:tmpl w:val="20494293"/>
    <w:lvl w:ilvl="0" w:tentative="0">
      <w:start w:val="5"/>
      <w:numFmt w:val="japaneseCounting"/>
      <w:lvlText w:val="%1、"/>
      <w:lvlJc w:val="left"/>
      <w:pPr>
        <w:ind w:left="1225" w:hanging="720"/>
      </w:pPr>
      <w:rPr>
        <w:rFonts w:hint="default"/>
      </w:rPr>
    </w:lvl>
    <w:lvl w:ilvl="1" w:tentative="0">
      <w:start w:val="1"/>
      <w:numFmt w:val="lowerLetter"/>
      <w:lvlText w:val="%2)"/>
      <w:lvlJc w:val="left"/>
      <w:pPr>
        <w:ind w:left="1345" w:hanging="420"/>
      </w:pPr>
    </w:lvl>
    <w:lvl w:ilvl="2" w:tentative="0">
      <w:start w:val="1"/>
      <w:numFmt w:val="lowerRoman"/>
      <w:lvlText w:val="%3."/>
      <w:lvlJc w:val="right"/>
      <w:pPr>
        <w:ind w:left="1765" w:hanging="420"/>
      </w:pPr>
    </w:lvl>
    <w:lvl w:ilvl="3" w:tentative="0">
      <w:start w:val="1"/>
      <w:numFmt w:val="decimal"/>
      <w:lvlText w:val="%4."/>
      <w:lvlJc w:val="left"/>
      <w:pPr>
        <w:ind w:left="2185" w:hanging="420"/>
      </w:pPr>
    </w:lvl>
    <w:lvl w:ilvl="4" w:tentative="0">
      <w:start w:val="1"/>
      <w:numFmt w:val="lowerLetter"/>
      <w:lvlText w:val="%5)"/>
      <w:lvlJc w:val="left"/>
      <w:pPr>
        <w:ind w:left="2605" w:hanging="420"/>
      </w:pPr>
    </w:lvl>
    <w:lvl w:ilvl="5" w:tentative="0">
      <w:start w:val="1"/>
      <w:numFmt w:val="lowerRoman"/>
      <w:lvlText w:val="%6."/>
      <w:lvlJc w:val="right"/>
      <w:pPr>
        <w:ind w:left="3025" w:hanging="420"/>
      </w:pPr>
    </w:lvl>
    <w:lvl w:ilvl="6" w:tentative="0">
      <w:start w:val="1"/>
      <w:numFmt w:val="decimal"/>
      <w:lvlText w:val="%7."/>
      <w:lvlJc w:val="left"/>
      <w:pPr>
        <w:ind w:left="3445" w:hanging="420"/>
      </w:pPr>
    </w:lvl>
    <w:lvl w:ilvl="7" w:tentative="0">
      <w:start w:val="1"/>
      <w:numFmt w:val="lowerLetter"/>
      <w:lvlText w:val="%8)"/>
      <w:lvlJc w:val="left"/>
      <w:pPr>
        <w:ind w:left="3865" w:hanging="420"/>
      </w:pPr>
    </w:lvl>
    <w:lvl w:ilvl="8" w:tentative="0">
      <w:start w:val="1"/>
      <w:numFmt w:val="lowerRoman"/>
      <w:lvlText w:val="%9."/>
      <w:lvlJc w:val="right"/>
      <w:pPr>
        <w:ind w:left="4285" w:hanging="420"/>
      </w:pPr>
    </w:lvl>
  </w:abstractNum>
  <w:abstractNum w:abstractNumId="3">
    <w:nsid w:val="557C2AF5"/>
    <w:multiLevelType w:val="multilevel"/>
    <w:tmpl w:val="557C2AF5"/>
    <w:lvl w:ilvl="0" w:tentative="0">
      <w:start w:val="1"/>
      <w:numFmt w:val="decimal"/>
      <w:pStyle w:val="2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6CEA2025"/>
    <w:multiLevelType w:val="multilevel"/>
    <w:tmpl w:val="6CEA2025"/>
    <w:lvl w:ilvl="0" w:tentative="0">
      <w:start w:val="1"/>
      <w:numFmt w:val="none"/>
      <w:pStyle w:val="25"/>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pStyle w:val="2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9"/>
      <w:suff w:val="nothing"/>
      <w:lvlText w:val="%1%2.%3.%4　"/>
      <w:lvlJc w:val="left"/>
      <w:pPr>
        <w:ind w:left="0" w:firstLine="0"/>
      </w:pPr>
      <w:rPr>
        <w:rFonts w:hint="eastAsia" w:ascii="黑体" w:eastAsia="黑体"/>
        <w:b w:val="0"/>
        <w:i w:val="0"/>
        <w:sz w:val="21"/>
      </w:rPr>
    </w:lvl>
    <w:lvl w:ilvl="4" w:tentative="0">
      <w:start w:val="1"/>
      <w:numFmt w:val="decimal"/>
      <w:pStyle w:val="20"/>
      <w:suff w:val="nothing"/>
      <w:lvlText w:val="%1%2.%3.%4.%5　"/>
      <w:lvlJc w:val="left"/>
      <w:pPr>
        <w:ind w:left="0" w:firstLine="0"/>
      </w:pPr>
      <w:rPr>
        <w:rFonts w:hint="eastAsia" w:ascii="黑体" w:eastAsia="黑体"/>
        <w:b w:val="0"/>
        <w:i w:val="0"/>
        <w:sz w:val="21"/>
      </w:rPr>
    </w:lvl>
    <w:lvl w:ilvl="5" w:tentative="0">
      <w:start w:val="1"/>
      <w:numFmt w:val="decimal"/>
      <w:pStyle w:val="21"/>
      <w:suff w:val="nothing"/>
      <w:lvlText w:val="%1%2.%3.%4.%5.%6　"/>
      <w:lvlJc w:val="left"/>
      <w:pPr>
        <w:ind w:left="0" w:firstLine="0"/>
      </w:pPr>
      <w:rPr>
        <w:rFonts w:hint="eastAsia" w:ascii="黑体" w:eastAsia="黑体"/>
        <w:b w:val="0"/>
        <w:i w:val="0"/>
        <w:sz w:val="21"/>
      </w:rPr>
    </w:lvl>
    <w:lvl w:ilvl="6" w:tentative="0">
      <w:start w:val="1"/>
      <w:numFmt w:val="decimal"/>
      <w:pStyle w:val="2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4664EEB"/>
    <w:multiLevelType w:val="multilevel"/>
    <w:tmpl w:val="74664EEB"/>
    <w:lvl w:ilvl="0" w:tentative="0">
      <w:start w:val="1"/>
      <w:numFmt w:val="japaneseCounting"/>
      <w:pStyle w:val="27"/>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F40A7A"/>
    <w:rsid w:val="00007A3B"/>
    <w:rsid w:val="0002480B"/>
    <w:rsid w:val="000512D3"/>
    <w:rsid w:val="00056E03"/>
    <w:rsid w:val="000606F1"/>
    <w:rsid w:val="000909BA"/>
    <w:rsid w:val="000B6C8F"/>
    <w:rsid w:val="000C482C"/>
    <w:rsid w:val="000C73B6"/>
    <w:rsid w:val="000D4AA2"/>
    <w:rsid w:val="000E1F56"/>
    <w:rsid w:val="000F45A7"/>
    <w:rsid w:val="000F666F"/>
    <w:rsid w:val="001117EC"/>
    <w:rsid w:val="0011516E"/>
    <w:rsid w:val="001379D8"/>
    <w:rsid w:val="001441AB"/>
    <w:rsid w:val="00153708"/>
    <w:rsid w:val="00160605"/>
    <w:rsid w:val="00192652"/>
    <w:rsid w:val="001B3206"/>
    <w:rsid w:val="001D20FE"/>
    <w:rsid w:val="001E0C5E"/>
    <w:rsid w:val="001E22DF"/>
    <w:rsid w:val="0020586B"/>
    <w:rsid w:val="00210294"/>
    <w:rsid w:val="00216C5F"/>
    <w:rsid w:val="002172C1"/>
    <w:rsid w:val="00224154"/>
    <w:rsid w:val="002276C5"/>
    <w:rsid w:val="00231022"/>
    <w:rsid w:val="00266580"/>
    <w:rsid w:val="0029495C"/>
    <w:rsid w:val="002978BA"/>
    <w:rsid w:val="002A1A2A"/>
    <w:rsid w:val="002B5A2F"/>
    <w:rsid w:val="002E08EB"/>
    <w:rsid w:val="003114F8"/>
    <w:rsid w:val="00330246"/>
    <w:rsid w:val="00334509"/>
    <w:rsid w:val="00341B58"/>
    <w:rsid w:val="00344DCA"/>
    <w:rsid w:val="00361BA1"/>
    <w:rsid w:val="00362592"/>
    <w:rsid w:val="00364D16"/>
    <w:rsid w:val="00371F2F"/>
    <w:rsid w:val="003815FF"/>
    <w:rsid w:val="0039281A"/>
    <w:rsid w:val="003C1FC4"/>
    <w:rsid w:val="003C75FC"/>
    <w:rsid w:val="003D4CDC"/>
    <w:rsid w:val="003E3A46"/>
    <w:rsid w:val="00401A7C"/>
    <w:rsid w:val="00417CCE"/>
    <w:rsid w:val="00433889"/>
    <w:rsid w:val="00466A67"/>
    <w:rsid w:val="004711AC"/>
    <w:rsid w:val="0047343A"/>
    <w:rsid w:val="00482E23"/>
    <w:rsid w:val="0048798C"/>
    <w:rsid w:val="00494AA2"/>
    <w:rsid w:val="004B216E"/>
    <w:rsid w:val="004C7DEA"/>
    <w:rsid w:val="004D1112"/>
    <w:rsid w:val="004F3BF8"/>
    <w:rsid w:val="004F7B0A"/>
    <w:rsid w:val="00505174"/>
    <w:rsid w:val="005257E0"/>
    <w:rsid w:val="005261CB"/>
    <w:rsid w:val="005353A9"/>
    <w:rsid w:val="00537D26"/>
    <w:rsid w:val="0055275D"/>
    <w:rsid w:val="005968B3"/>
    <w:rsid w:val="00597CAF"/>
    <w:rsid w:val="005B1C23"/>
    <w:rsid w:val="005B6BA9"/>
    <w:rsid w:val="00611246"/>
    <w:rsid w:val="00613ED1"/>
    <w:rsid w:val="00626D7F"/>
    <w:rsid w:val="00634B08"/>
    <w:rsid w:val="006722D3"/>
    <w:rsid w:val="006A5B11"/>
    <w:rsid w:val="006B145A"/>
    <w:rsid w:val="006B7A71"/>
    <w:rsid w:val="006D70EC"/>
    <w:rsid w:val="006D73AF"/>
    <w:rsid w:val="006E7197"/>
    <w:rsid w:val="006F1440"/>
    <w:rsid w:val="0070740B"/>
    <w:rsid w:val="00707437"/>
    <w:rsid w:val="007113C1"/>
    <w:rsid w:val="00721EE2"/>
    <w:rsid w:val="007A5579"/>
    <w:rsid w:val="007A5904"/>
    <w:rsid w:val="007D0B61"/>
    <w:rsid w:val="007E2316"/>
    <w:rsid w:val="007F37EE"/>
    <w:rsid w:val="007F78F7"/>
    <w:rsid w:val="00800EA9"/>
    <w:rsid w:val="00803B2B"/>
    <w:rsid w:val="00803D33"/>
    <w:rsid w:val="00812919"/>
    <w:rsid w:val="0085556B"/>
    <w:rsid w:val="00893ACB"/>
    <w:rsid w:val="00893E38"/>
    <w:rsid w:val="008A532F"/>
    <w:rsid w:val="008E0B5B"/>
    <w:rsid w:val="00906298"/>
    <w:rsid w:val="00906AA1"/>
    <w:rsid w:val="00930624"/>
    <w:rsid w:val="009332A7"/>
    <w:rsid w:val="00940E4F"/>
    <w:rsid w:val="00954336"/>
    <w:rsid w:val="00962E80"/>
    <w:rsid w:val="009630F8"/>
    <w:rsid w:val="00964CC9"/>
    <w:rsid w:val="00966B17"/>
    <w:rsid w:val="0098137C"/>
    <w:rsid w:val="00982776"/>
    <w:rsid w:val="00982B8F"/>
    <w:rsid w:val="00987678"/>
    <w:rsid w:val="009916B1"/>
    <w:rsid w:val="009A143D"/>
    <w:rsid w:val="009A3175"/>
    <w:rsid w:val="009B0913"/>
    <w:rsid w:val="009B75B2"/>
    <w:rsid w:val="009B77F5"/>
    <w:rsid w:val="009D6827"/>
    <w:rsid w:val="009E1582"/>
    <w:rsid w:val="009F69DB"/>
    <w:rsid w:val="00A259E3"/>
    <w:rsid w:val="00A32C7C"/>
    <w:rsid w:val="00A3458B"/>
    <w:rsid w:val="00A36849"/>
    <w:rsid w:val="00A45A0C"/>
    <w:rsid w:val="00A76F21"/>
    <w:rsid w:val="00A90F2C"/>
    <w:rsid w:val="00A96D05"/>
    <w:rsid w:val="00AB4B0C"/>
    <w:rsid w:val="00AB7FD4"/>
    <w:rsid w:val="00AC2B04"/>
    <w:rsid w:val="00AD3607"/>
    <w:rsid w:val="00AD6D77"/>
    <w:rsid w:val="00AE25AA"/>
    <w:rsid w:val="00AF6E67"/>
    <w:rsid w:val="00B2687B"/>
    <w:rsid w:val="00B31C41"/>
    <w:rsid w:val="00B61237"/>
    <w:rsid w:val="00B6564B"/>
    <w:rsid w:val="00B93639"/>
    <w:rsid w:val="00BA5404"/>
    <w:rsid w:val="00BB5DDA"/>
    <w:rsid w:val="00BB76F5"/>
    <w:rsid w:val="00BB7B25"/>
    <w:rsid w:val="00BC138A"/>
    <w:rsid w:val="00BD4DFD"/>
    <w:rsid w:val="00BF1961"/>
    <w:rsid w:val="00BF435C"/>
    <w:rsid w:val="00C451C2"/>
    <w:rsid w:val="00C53598"/>
    <w:rsid w:val="00C61BCC"/>
    <w:rsid w:val="00C827F8"/>
    <w:rsid w:val="00C955FD"/>
    <w:rsid w:val="00C96EC0"/>
    <w:rsid w:val="00CA2AA3"/>
    <w:rsid w:val="00CA41A5"/>
    <w:rsid w:val="00CA5B30"/>
    <w:rsid w:val="00CB7EB8"/>
    <w:rsid w:val="00CC4D3B"/>
    <w:rsid w:val="00CD4D3D"/>
    <w:rsid w:val="00CF0438"/>
    <w:rsid w:val="00D063E1"/>
    <w:rsid w:val="00D13780"/>
    <w:rsid w:val="00D441ED"/>
    <w:rsid w:val="00D5295D"/>
    <w:rsid w:val="00D64197"/>
    <w:rsid w:val="00D73E8B"/>
    <w:rsid w:val="00D802E2"/>
    <w:rsid w:val="00D8255C"/>
    <w:rsid w:val="00D831BC"/>
    <w:rsid w:val="00D8739D"/>
    <w:rsid w:val="00D90B00"/>
    <w:rsid w:val="00DB220F"/>
    <w:rsid w:val="00DC1721"/>
    <w:rsid w:val="00DD0F41"/>
    <w:rsid w:val="00DF671D"/>
    <w:rsid w:val="00E10161"/>
    <w:rsid w:val="00E41663"/>
    <w:rsid w:val="00E43B41"/>
    <w:rsid w:val="00E643E8"/>
    <w:rsid w:val="00E73EB9"/>
    <w:rsid w:val="00E933D9"/>
    <w:rsid w:val="00E953C2"/>
    <w:rsid w:val="00EB02D0"/>
    <w:rsid w:val="00EB0332"/>
    <w:rsid w:val="00EC65F7"/>
    <w:rsid w:val="00EE7D8E"/>
    <w:rsid w:val="00EF0605"/>
    <w:rsid w:val="00EF2897"/>
    <w:rsid w:val="00F22D23"/>
    <w:rsid w:val="00F23FC7"/>
    <w:rsid w:val="00F340BE"/>
    <w:rsid w:val="00F6264F"/>
    <w:rsid w:val="00F66419"/>
    <w:rsid w:val="00F829D1"/>
    <w:rsid w:val="00F909A0"/>
    <w:rsid w:val="00F977D5"/>
    <w:rsid w:val="00FB0950"/>
    <w:rsid w:val="00FB142D"/>
    <w:rsid w:val="00FD35C6"/>
    <w:rsid w:val="00FE1343"/>
    <w:rsid w:val="00FE658D"/>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2E3AE5"/>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285F4D"/>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DF03188"/>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8"/>
    <w:qFormat/>
    <w:uiPriority w:val="0"/>
    <w:rPr>
      <w:rFonts w:ascii="宋体"/>
      <w:sz w:val="18"/>
      <w:szCs w:val="18"/>
    </w:rPr>
  </w:style>
  <w:style w:type="paragraph" w:styleId="4">
    <w:name w:val="Balloon Text"/>
    <w:basedOn w:val="1"/>
    <w:link w:val="17"/>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unhideWhenUsed/>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paragraph" w:styleId="12">
    <w:name w:val="List Paragraph"/>
    <w:basedOn w:val="1"/>
    <w:qFormat/>
    <w:uiPriority w:val="34"/>
    <w:pPr>
      <w:ind w:firstLine="420" w:firstLineChars="200"/>
    </w:pPr>
    <w:rPr>
      <w:szCs w:val="22"/>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sz w:val="21"/>
    </w:rPr>
  </w:style>
  <w:style w:type="character" w:customStyle="1" w:styleId="15">
    <w:name w:val="页眉 Char"/>
    <w:basedOn w:val="10"/>
    <w:link w:val="6"/>
    <w:qFormat/>
    <w:uiPriority w:val="0"/>
    <w:rPr>
      <w:rFonts w:ascii="Times New Roman" w:hAnsi="Times New Roman"/>
      <w:kern w:val="2"/>
      <w:sz w:val="18"/>
      <w:szCs w:val="18"/>
    </w:rPr>
  </w:style>
  <w:style w:type="character" w:customStyle="1" w:styleId="16">
    <w:name w:val="页脚 Char"/>
    <w:basedOn w:val="10"/>
    <w:link w:val="5"/>
    <w:qFormat/>
    <w:uiPriority w:val="0"/>
    <w:rPr>
      <w:rFonts w:ascii="Times New Roman" w:hAnsi="Times New Roman"/>
      <w:kern w:val="2"/>
      <w:sz w:val="18"/>
      <w:szCs w:val="18"/>
    </w:rPr>
  </w:style>
  <w:style w:type="character" w:customStyle="1" w:styleId="17">
    <w:name w:val="批注框文本 Char"/>
    <w:basedOn w:val="10"/>
    <w:link w:val="4"/>
    <w:qFormat/>
    <w:uiPriority w:val="0"/>
    <w:rPr>
      <w:rFonts w:ascii="Times New Roman" w:hAnsi="Times New Roman"/>
      <w:kern w:val="2"/>
      <w:sz w:val="18"/>
      <w:szCs w:val="18"/>
    </w:rPr>
  </w:style>
  <w:style w:type="character" w:customStyle="1" w:styleId="18">
    <w:name w:val="文档结构图 Char"/>
    <w:basedOn w:val="10"/>
    <w:link w:val="3"/>
    <w:qFormat/>
    <w:uiPriority w:val="0"/>
    <w:rPr>
      <w:rFonts w:ascii="宋体"/>
      <w:kern w:val="2"/>
      <w:sz w:val="18"/>
      <w:szCs w:val="18"/>
    </w:rPr>
  </w:style>
  <w:style w:type="paragraph" w:customStyle="1" w:styleId="19">
    <w:name w:val="标准文件_二级条标题"/>
    <w:next w:val="13"/>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0">
    <w:name w:val="标准文件_三级条标题"/>
    <w:basedOn w:val="19"/>
    <w:next w:val="13"/>
    <w:qFormat/>
    <w:uiPriority w:val="0"/>
    <w:pPr>
      <w:widowControl/>
      <w:numPr>
        <w:ilvl w:val="4"/>
      </w:numPr>
      <w:outlineLvl w:val="3"/>
    </w:pPr>
  </w:style>
  <w:style w:type="paragraph" w:customStyle="1" w:styleId="21">
    <w:name w:val="标准文件_四级条标题"/>
    <w:next w:val="13"/>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2">
    <w:name w:val="标准文件_五级条标题"/>
    <w:next w:val="13"/>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3">
    <w:name w:val="标准文件_章标题"/>
    <w:next w:val="13"/>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4">
    <w:name w:val="标准文件_一级条标题"/>
    <w:basedOn w:val="23"/>
    <w:next w:val="13"/>
    <w:qFormat/>
    <w:uiPriority w:val="0"/>
    <w:pPr>
      <w:numPr>
        <w:ilvl w:val="2"/>
      </w:numPr>
      <w:spacing w:beforeLines="50" w:afterLines="50"/>
      <w:outlineLvl w:val="1"/>
    </w:pPr>
  </w:style>
  <w:style w:type="paragraph" w:customStyle="1" w:styleId="25">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6">
    <w:name w:val="标准文件_术语条一"/>
    <w:basedOn w:val="1"/>
    <w:next w:val="13"/>
    <w:qFormat/>
    <w:uiPriority w:val="0"/>
    <w:pPr>
      <w:widowControl/>
      <w:numPr>
        <w:ilvl w:val="2"/>
        <w:numId w:val="2"/>
      </w:numPr>
    </w:pPr>
    <w:rPr>
      <w:rFonts w:ascii="宋体"/>
      <w:kern w:val="0"/>
      <w:szCs w:val="20"/>
    </w:rPr>
  </w:style>
  <w:style w:type="paragraph" w:customStyle="1" w:styleId="2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28">
    <w:name w:val="BodyText2"/>
    <w:basedOn w:val="1"/>
    <w:qFormat/>
    <w:uiPriority w:val="0"/>
    <w:pPr>
      <w:spacing w:after="120" w:line="480" w:lineRule="auto"/>
      <w:textAlignment w:val="baseline"/>
    </w:pPr>
    <w:rPr>
      <w:rFonts w:ascii="Calibri" w:hAnsi="Calibri"/>
      <w:sz w:val="32"/>
      <w:szCs w:val="32"/>
    </w:rPr>
  </w:style>
  <w:style w:type="paragraph" w:customStyle="1" w:styleId="29">
    <w:name w:val="标准文件_正文图标题"/>
    <w:next w:val="13"/>
    <w:qFormat/>
    <w:uiPriority w:val="0"/>
    <w:pPr>
      <w:numPr>
        <w:ilvl w:val="0"/>
        <w:numId w:val="4"/>
      </w:numPr>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882</Words>
  <Characters>5029</Characters>
  <Lines>41</Lines>
  <Paragraphs>11</Paragraphs>
  <TotalTime>2</TotalTime>
  <ScaleCrop>false</ScaleCrop>
  <LinksUpToDate>false</LinksUpToDate>
  <CharactersWithSpaces>5900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Administrator</cp:lastModifiedBy>
  <dcterms:modified xsi:type="dcterms:W3CDTF">2021-05-21T00:52:09Z</dcterms:modified>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9828B89244E649DDA2CF3E12000367FE</vt:lpwstr>
  </property>
</Properties>
</file>